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9414" w14:textId="77777777" w:rsidR="00FB2BC4" w:rsidRPr="007E1150" w:rsidRDefault="00FB2BC4" w:rsidP="00FB2BC4">
      <w:pPr>
        <w:spacing w:line="360" w:lineRule="auto"/>
        <w:jc w:val="both"/>
        <w:rPr>
          <w:rFonts w:ascii="Times New Roman" w:hAnsi="Times New Roman" w:cs="Times New Roman"/>
          <w:b/>
          <w:bCs/>
          <w:sz w:val="32"/>
          <w:szCs w:val="32"/>
        </w:rPr>
      </w:pPr>
      <w:r w:rsidRPr="007E1150">
        <w:rPr>
          <w:rFonts w:ascii="Times New Roman" w:hAnsi="Times New Roman" w:cs="Times New Roman"/>
          <w:b/>
          <w:bCs/>
          <w:sz w:val="32"/>
          <w:szCs w:val="32"/>
        </w:rPr>
        <w:t xml:space="preserve">Strategie předcházení školní neúspěšnosti </w:t>
      </w:r>
    </w:p>
    <w:p w14:paraId="4A35C8F0"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Školní neúspěšnost znamená selhávání dítěte v podmínkách školního prostředí. Projevuje se špatným prospěchem nebo negativním postojem k vlastnímu učení a vzdělávání.</w:t>
      </w:r>
    </w:p>
    <w:p w14:paraId="0C6A7AD4"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Strategie předcházení školní neúspěšnosti vychází z vyhlášky č. 27/2016 sb. S žáky ohroženými školní neúspěšností může pracovat výchovná poradkyně, metodička prevence i jiní pedagogičtí pracovníci školy. Ve spolupráci s třídními učiteli a vyučujícími jednotlivých předmětů zajišťují žákům se specifickými poruchami učení (SPU) poskytování doporučených podpůrných opatření. Třídní učitelé vyhodnocují prospěch žáků ve svojí třídě. U neprospívajících žáků zjišťují příčinu neúspěchu. Vyhodnocují příčinu zhoršení prospěchu a v případě potřeby je vypracován Plán pedagogické podpory (PLPP).</w:t>
      </w:r>
    </w:p>
    <w:p w14:paraId="6BF6D01C"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Neúspěchem ve škole může být ohrožen žák, který: </w:t>
      </w:r>
    </w:p>
    <w:p w14:paraId="769AABBE"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má speciální vzdělávací potřeby </w:t>
      </w:r>
    </w:p>
    <w:p w14:paraId="26BB95AE"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nastoupil nově do školy </w:t>
      </w:r>
    </w:p>
    <w:p w14:paraId="0569FF38"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přešel z jiné školy </w:t>
      </w:r>
    </w:p>
    <w:p w14:paraId="4E70B400"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má dlouhodobější absenci z důvodu nemoci </w:t>
      </w:r>
    </w:p>
    <w:p w14:paraId="54B647BB"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prožívá změnu rodinné situace </w:t>
      </w:r>
    </w:p>
    <w:p w14:paraId="6FEAA1B4"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neovládá český jazyk jako rodný jazyk a nástroj výuky </w:t>
      </w:r>
    </w:p>
    <w:p w14:paraId="174A6F41"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Příčiny školní neúspěšnosti žáka: </w:t>
      </w:r>
    </w:p>
    <w:p w14:paraId="1D9AC3A4"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osobnost (schopnosti, charakter, odpovědnost, vytrvalost, odolnost vůči zátěži, snížená inteligence, emoční labilita) </w:t>
      </w:r>
    </w:p>
    <w:p w14:paraId="555038CD"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motivace (podíl mají rodiče, učitel, spolužáci) </w:t>
      </w:r>
    </w:p>
    <w:p w14:paraId="01A00298"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poruchy učení </w:t>
      </w:r>
    </w:p>
    <w:p w14:paraId="729026D4"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poruchy chování </w:t>
      </w:r>
    </w:p>
    <w:p w14:paraId="1F2E9A44"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metody učení (každý si volí nejlépe vyhovující metodu) </w:t>
      </w:r>
    </w:p>
    <w:p w14:paraId="59E0DC79"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aktuální zdravotní stav </w:t>
      </w:r>
    </w:p>
    <w:p w14:paraId="2276E986"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nepravidelná docházka nebo častá absence </w:t>
      </w:r>
    </w:p>
    <w:p w14:paraId="46E96BCE"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lastRenderedPageBreak/>
        <w:t xml:space="preserve">-  nepodnětné rodinné prostředí </w:t>
      </w:r>
    </w:p>
    <w:p w14:paraId="03D9AB89"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problematické vztahy (s vrstevníky, s dospělými, s autoritami) </w:t>
      </w:r>
    </w:p>
    <w:p w14:paraId="5096573F"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ohrožení sociálně nežádoucími vlivy</w:t>
      </w:r>
    </w:p>
    <w:p w14:paraId="329DF9BC"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Neúspěch žáka ve škole se může projevit neprospěchem nebo závadovým chováním (porušováním školního řádu, záškoláctvím, problematickým postavením ve třídním kolektivu). Na pedagogické radě školy je vyhodnocována situace ve vzdělávání žáků ohrožených školním neúspěchem. Všichni pedagogičtí pracovníci jsou se situací seznámeni. V případě zhoršení školního prospěchu jsou neprodleně informováni zákonní zástupci žáka prostřednictvím třídních učitelů. </w:t>
      </w:r>
    </w:p>
    <w:p w14:paraId="71825FB6"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Úspěšnost žáka ve škole je podmíněna mnoha faktory. Úspěch žáka ve škole závisí nejen na jeho schopnostech, ale i na jeho sebehodnocení i míře sebedůvěry.</w:t>
      </w:r>
    </w:p>
    <w:p w14:paraId="319EAEB9"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Problémy žáka ve vyučovací hodině: </w:t>
      </w:r>
    </w:p>
    <w:p w14:paraId="2FA1AE5F"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nerozumí výkladu </w:t>
      </w:r>
    </w:p>
    <w:p w14:paraId="68AB5112"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neumí pracovat s učebnicemi a jinými texty </w:t>
      </w:r>
    </w:p>
    <w:p w14:paraId="0F520239"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nedokáže určit, co je podstatné </w:t>
      </w:r>
    </w:p>
    <w:p w14:paraId="582C00A6"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neumí nebo nedokáže se soustředit </w:t>
      </w:r>
    </w:p>
    <w:p w14:paraId="2B21C622"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při práci vyrušován spolužáky </w:t>
      </w:r>
    </w:p>
    <w:p w14:paraId="49BADA6C"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problémy v komunikaci s vyučujícím </w:t>
      </w:r>
    </w:p>
    <w:p w14:paraId="205A336F"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strach z vyučujícího </w:t>
      </w:r>
    </w:p>
    <w:p w14:paraId="3F73E6C4"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obava sdělit, že něčemu nerozumí </w:t>
      </w:r>
    </w:p>
    <w:p w14:paraId="5C68C4F1"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neznalost pravidel konzultací s vyučujícím daného předmětu </w:t>
      </w:r>
    </w:p>
    <w:p w14:paraId="3A58464A"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nejeví zájem o výuku, v hodině nepracuje, nechce pracovat, rozptyluje spolužáky </w:t>
      </w:r>
    </w:p>
    <w:p w14:paraId="678D5E92" w14:textId="77777777" w:rsidR="00FB2BC4" w:rsidRPr="00C4279C" w:rsidRDefault="00FB2BC4" w:rsidP="00FB2BC4">
      <w:pPr>
        <w:spacing w:line="360" w:lineRule="auto"/>
        <w:jc w:val="both"/>
        <w:rPr>
          <w:rFonts w:ascii="Times New Roman" w:hAnsi="Times New Roman" w:cs="Times New Roman"/>
        </w:rPr>
      </w:pPr>
      <w:r w:rsidRPr="00C4279C">
        <w:rPr>
          <w:rFonts w:ascii="Times New Roman" w:hAnsi="Times New Roman" w:cs="Times New Roman"/>
        </w:rPr>
        <w:t xml:space="preserve">- odmítá nabízenou pomoc vyučujících </w:t>
      </w:r>
    </w:p>
    <w:p w14:paraId="3571F123" w14:textId="77777777" w:rsidR="00FB2BC4" w:rsidRDefault="00FB2BC4" w:rsidP="00FB2BC4">
      <w:pPr>
        <w:spacing w:line="360" w:lineRule="auto"/>
        <w:jc w:val="both"/>
        <w:rPr>
          <w:rFonts w:ascii="Times New Roman" w:hAnsi="Times New Roman" w:cs="Times New Roman"/>
        </w:rPr>
      </w:pPr>
      <w:r w:rsidRPr="00C4279C">
        <w:rPr>
          <w:rFonts w:ascii="Times New Roman" w:hAnsi="Times New Roman" w:cs="Times New Roman"/>
        </w:rPr>
        <w:t>- problémy s domácí přípravou</w:t>
      </w:r>
    </w:p>
    <w:p w14:paraId="6F3CAD58" w14:textId="77777777" w:rsidR="00FB2BC4" w:rsidRDefault="00FB2BC4" w:rsidP="00FB2BC4">
      <w:pPr>
        <w:spacing w:line="360" w:lineRule="auto"/>
        <w:jc w:val="both"/>
        <w:rPr>
          <w:rFonts w:ascii="Times New Roman" w:hAnsi="Times New Roman" w:cs="Times New Roman"/>
        </w:rPr>
      </w:pPr>
    </w:p>
    <w:p w14:paraId="05D2FCD0" w14:textId="77777777" w:rsidR="00FB2BC4" w:rsidRPr="00C4279C" w:rsidRDefault="00FB2BC4" w:rsidP="00FB2BC4">
      <w:pPr>
        <w:spacing w:line="360" w:lineRule="auto"/>
        <w:jc w:val="both"/>
        <w:rPr>
          <w:rFonts w:ascii="Times New Roman" w:hAnsi="Times New Roman" w:cs="Times New Roman"/>
        </w:rPr>
      </w:pPr>
    </w:p>
    <w:p w14:paraId="0A396426" w14:textId="77777777" w:rsidR="00FB2BC4" w:rsidRPr="00C4279C" w:rsidRDefault="00FB2BC4" w:rsidP="00FB2BC4">
      <w:pPr>
        <w:spacing w:line="360" w:lineRule="auto"/>
        <w:jc w:val="both"/>
        <w:rPr>
          <w:rFonts w:ascii="Times New Roman" w:hAnsi="Times New Roman" w:cs="Times New Roman"/>
          <w:b/>
          <w:bCs/>
        </w:rPr>
      </w:pPr>
      <w:r w:rsidRPr="00C4279C">
        <w:rPr>
          <w:rFonts w:ascii="Times New Roman" w:hAnsi="Times New Roman" w:cs="Times New Roman"/>
          <w:b/>
          <w:bCs/>
        </w:rPr>
        <w:lastRenderedPageBreak/>
        <w:t xml:space="preserve"> Řešení a předcházení školní neúspěšnosti žáka:</w:t>
      </w:r>
    </w:p>
    <w:p w14:paraId="56C3BC34" w14:textId="77777777" w:rsidR="00FB2BC4" w:rsidRPr="005D4724" w:rsidRDefault="00FB2BC4" w:rsidP="00FB2BC4">
      <w:pPr>
        <w:spacing w:line="360" w:lineRule="auto"/>
        <w:jc w:val="both"/>
        <w:rPr>
          <w:rFonts w:ascii="Times New Roman" w:hAnsi="Times New Roman" w:cs="Times New Roman"/>
          <w:b/>
          <w:bCs/>
        </w:rPr>
      </w:pPr>
      <w:r w:rsidRPr="005D4724">
        <w:rPr>
          <w:rFonts w:ascii="Times New Roman" w:hAnsi="Times New Roman" w:cs="Times New Roman"/>
          <w:b/>
          <w:bCs/>
        </w:rPr>
        <w:t xml:space="preserve">1. Spolupráce s mateřskou školou </w:t>
      </w:r>
    </w:p>
    <w:p w14:paraId="2E17EBC9" w14:textId="77777777" w:rsidR="00FB2BC4" w:rsidRPr="005D4724" w:rsidRDefault="00FB2BC4" w:rsidP="00FB2BC4">
      <w:pPr>
        <w:spacing w:line="360" w:lineRule="auto"/>
        <w:jc w:val="both"/>
        <w:rPr>
          <w:rFonts w:ascii="Times New Roman" w:hAnsi="Times New Roman" w:cs="Times New Roman"/>
        </w:rPr>
      </w:pPr>
      <w:r w:rsidRPr="005D4724">
        <w:rPr>
          <w:rFonts w:ascii="Times New Roman" w:hAnsi="Times New Roman" w:cs="Times New Roman"/>
        </w:rPr>
        <w:sym w:font="Symbol" w:char="F02D"/>
      </w:r>
      <w:r w:rsidRPr="005D4724">
        <w:rPr>
          <w:rFonts w:ascii="Times New Roman" w:hAnsi="Times New Roman" w:cs="Times New Roman"/>
        </w:rPr>
        <w:t xml:space="preserve"> spolupráce s učitelkami mateřské školy v oblasti školní připravenosti dětí (návštěvy budoucí učitelky 1. třídy v MŠ, spolupráce MŠ a </w:t>
      </w:r>
      <w:proofErr w:type="gramStart"/>
      <w:r w:rsidRPr="005D4724">
        <w:rPr>
          <w:rFonts w:ascii="Times New Roman" w:hAnsi="Times New Roman" w:cs="Times New Roman"/>
        </w:rPr>
        <w:t>ZŠ )</w:t>
      </w:r>
      <w:proofErr w:type="gramEnd"/>
    </w:p>
    <w:p w14:paraId="66BD5024" w14:textId="77777777" w:rsidR="00FB2BC4" w:rsidRPr="005D4724" w:rsidRDefault="00FB2BC4" w:rsidP="00FB2BC4">
      <w:pPr>
        <w:spacing w:line="360" w:lineRule="auto"/>
        <w:jc w:val="both"/>
        <w:rPr>
          <w:rFonts w:ascii="Times New Roman" w:hAnsi="Times New Roman" w:cs="Times New Roman"/>
        </w:rPr>
      </w:pPr>
      <w:r w:rsidRPr="005D4724">
        <w:rPr>
          <w:rFonts w:ascii="Times New Roman" w:hAnsi="Times New Roman" w:cs="Times New Roman"/>
        </w:rPr>
        <w:t xml:space="preserve"> </w:t>
      </w:r>
      <w:r w:rsidRPr="005D4724">
        <w:rPr>
          <w:rFonts w:ascii="Times New Roman" w:hAnsi="Times New Roman" w:cs="Times New Roman"/>
        </w:rPr>
        <w:sym w:font="Symbol" w:char="F02D"/>
      </w:r>
      <w:r w:rsidRPr="005D4724">
        <w:rPr>
          <w:rFonts w:ascii="Times New Roman" w:hAnsi="Times New Roman" w:cs="Times New Roman"/>
        </w:rPr>
        <w:t xml:space="preserve"> informace zákonným zástupcům dětí, jak připravit děti pro vstup do 1. ročníku základní školy </w:t>
      </w:r>
    </w:p>
    <w:p w14:paraId="07B851EB" w14:textId="77777777" w:rsidR="00FB2BC4" w:rsidRPr="005D4724" w:rsidRDefault="00FB2BC4" w:rsidP="00FB2BC4">
      <w:pPr>
        <w:spacing w:line="360" w:lineRule="auto"/>
        <w:jc w:val="both"/>
        <w:rPr>
          <w:rFonts w:ascii="Times New Roman" w:hAnsi="Times New Roman" w:cs="Times New Roman"/>
          <w:b/>
          <w:bCs/>
        </w:rPr>
      </w:pPr>
      <w:r w:rsidRPr="005D4724">
        <w:rPr>
          <w:rFonts w:ascii="Times New Roman" w:hAnsi="Times New Roman" w:cs="Times New Roman"/>
          <w:b/>
          <w:bCs/>
        </w:rPr>
        <w:t xml:space="preserve">2. Spolupráce se zákonnými zástupci </w:t>
      </w:r>
    </w:p>
    <w:p w14:paraId="452B59DF" w14:textId="77777777" w:rsidR="00FB2BC4" w:rsidRPr="005D4724" w:rsidRDefault="00FB2BC4" w:rsidP="00FB2BC4">
      <w:pPr>
        <w:spacing w:line="360" w:lineRule="auto"/>
        <w:jc w:val="both"/>
        <w:rPr>
          <w:rFonts w:ascii="Times New Roman" w:hAnsi="Times New Roman" w:cs="Times New Roman"/>
        </w:rPr>
      </w:pPr>
      <w:r w:rsidRPr="005D4724">
        <w:rPr>
          <w:rFonts w:ascii="Times New Roman" w:hAnsi="Times New Roman" w:cs="Times New Roman"/>
        </w:rPr>
        <w:sym w:font="Symbol" w:char="F02D"/>
      </w:r>
      <w:r w:rsidRPr="005D4724">
        <w:rPr>
          <w:rFonts w:ascii="Times New Roman" w:hAnsi="Times New Roman" w:cs="Times New Roman"/>
        </w:rPr>
        <w:t xml:space="preserve"> konzultace se zákonnými zástupci budoucích prvňáčků a doporučení metod k vyrovnání menší či nedostatečné připravenosti dětí pro úspěšné zvládnutí 1. ročníku základní školy </w:t>
      </w:r>
    </w:p>
    <w:p w14:paraId="2B238E03" w14:textId="77777777" w:rsidR="00FB2BC4" w:rsidRPr="005D4724" w:rsidRDefault="00FB2BC4" w:rsidP="00FB2BC4">
      <w:pPr>
        <w:spacing w:line="360" w:lineRule="auto"/>
        <w:jc w:val="both"/>
        <w:rPr>
          <w:rFonts w:ascii="Times New Roman" w:hAnsi="Times New Roman" w:cs="Times New Roman"/>
          <w:b/>
          <w:bCs/>
        </w:rPr>
      </w:pPr>
      <w:r w:rsidRPr="005D4724">
        <w:rPr>
          <w:rFonts w:ascii="Times New Roman" w:hAnsi="Times New Roman" w:cs="Times New Roman"/>
          <w:b/>
          <w:bCs/>
        </w:rPr>
        <w:t>3. V průběhu vzdělávání v základní škole</w:t>
      </w:r>
    </w:p>
    <w:p w14:paraId="0E0BE64E" w14:textId="77777777" w:rsidR="00FB2BC4" w:rsidRPr="005D4724" w:rsidRDefault="00FB2BC4" w:rsidP="00FB2BC4">
      <w:pPr>
        <w:spacing w:line="360" w:lineRule="auto"/>
        <w:jc w:val="both"/>
        <w:rPr>
          <w:rFonts w:ascii="Times New Roman" w:hAnsi="Times New Roman" w:cs="Times New Roman"/>
        </w:rPr>
      </w:pPr>
      <w:r w:rsidRPr="005D4724">
        <w:rPr>
          <w:rFonts w:ascii="Times New Roman" w:hAnsi="Times New Roman" w:cs="Times New Roman"/>
        </w:rPr>
        <w:sym w:font="Symbol" w:char="F02D"/>
      </w:r>
      <w:r w:rsidRPr="005D4724">
        <w:rPr>
          <w:rFonts w:ascii="Times New Roman" w:hAnsi="Times New Roman" w:cs="Times New Roman"/>
        </w:rPr>
        <w:t xml:space="preserve"> Zajištění doučování a pedagogické intervence pro žáky se speciálními vzdělávacími potřebami, pro žáky se zhoršeným prospěchem, po dlouhodobé nemoci, absenci apod. </w:t>
      </w:r>
    </w:p>
    <w:p w14:paraId="798EF04F" w14:textId="77777777" w:rsidR="00FB2BC4" w:rsidRPr="005D4724" w:rsidRDefault="00FB2BC4" w:rsidP="00FB2BC4">
      <w:pPr>
        <w:spacing w:line="360" w:lineRule="auto"/>
        <w:jc w:val="both"/>
        <w:rPr>
          <w:rFonts w:ascii="Times New Roman" w:hAnsi="Times New Roman" w:cs="Times New Roman"/>
        </w:rPr>
      </w:pPr>
      <w:r w:rsidRPr="005D4724">
        <w:rPr>
          <w:rFonts w:ascii="Times New Roman" w:hAnsi="Times New Roman" w:cs="Times New Roman"/>
        </w:rPr>
        <w:sym w:font="Symbol" w:char="F02D"/>
      </w:r>
      <w:r w:rsidRPr="005D4724">
        <w:rPr>
          <w:rFonts w:ascii="Times New Roman" w:hAnsi="Times New Roman" w:cs="Times New Roman"/>
        </w:rPr>
        <w:t xml:space="preserve"> Vyhledávání žáků s rizikem vzniku speciálních vzdělávacích potřeb</w:t>
      </w:r>
    </w:p>
    <w:p w14:paraId="7BA60CD1" w14:textId="77777777" w:rsidR="00FB2BC4" w:rsidRPr="005D4724" w:rsidRDefault="00FB2BC4" w:rsidP="00FB2BC4">
      <w:pPr>
        <w:spacing w:line="360" w:lineRule="auto"/>
        <w:jc w:val="both"/>
        <w:rPr>
          <w:rFonts w:ascii="Times New Roman" w:hAnsi="Times New Roman" w:cs="Times New Roman"/>
        </w:rPr>
      </w:pPr>
      <w:r w:rsidRPr="005D4724">
        <w:rPr>
          <w:rFonts w:ascii="Times New Roman" w:hAnsi="Times New Roman" w:cs="Times New Roman"/>
        </w:rPr>
        <w:t xml:space="preserve"> </w:t>
      </w:r>
      <w:r w:rsidRPr="005D4724">
        <w:rPr>
          <w:rFonts w:ascii="Times New Roman" w:hAnsi="Times New Roman" w:cs="Times New Roman"/>
        </w:rPr>
        <w:sym w:font="Symbol" w:char="F02D"/>
      </w:r>
      <w:r w:rsidRPr="005D4724">
        <w:rPr>
          <w:rFonts w:ascii="Times New Roman" w:hAnsi="Times New Roman" w:cs="Times New Roman"/>
        </w:rPr>
        <w:t xml:space="preserve"> Vyhledávání žáků se speciálními vzdělávacími potřebami a jejich zařazení do speciálně pedagogické péče.</w:t>
      </w:r>
    </w:p>
    <w:p w14:paraId="2C46B386" w14:textId="77777777" w:rsidR="00FB2BC4" w:rsidRPr="005D4724" w:rsidRDefault="00FB2BC4" w:rsidP="00FB2BC4">
      <w:pPr>
        <w:spacing w:line="360" w:lineRule="auto"/>
        <w:jc w:val="both"/>
        <w:rPr>
          <w:rFonts w:ascii="Times New Roman" w:hAnsi="Times New Roman" w:cs="Times New Roman"/>
        </w:rPr>
      </w:pPr>
      <w:r w:rsidRPr="005D4724">
        <w:rPr>
          <w:rFonts w:ascii="Times New Roman" w:hAnsi="Times New Roman" w:cs="Times New Roman"/>
        </w:rPr>
        <w:t xml:space="preserve"> </w:t>
      </w:r>
      <w:r w:rsidRPr="005D4724">
        <w:rPr>
          <w:rFonts w:ascii="Times New Roman" w:hAnsi="Times New Roman" w:cs="Times New Roman"/>
        </w:rPr>
        <w:sym w:font="Symbol" w:char="F02D"/>
      </w:r>
      <w:r w:rsidRPr="005D4724">
        <w:rPr>
          <w:rFonts w:ascii="Times New Roman" w:hAnsi="Times New Roman" w:cs="Times New Roman"/>
        </w:rPr>
        <w:t xml:space="preserve"> Stanovení plánu pedagogické podpory</w:t>
      </w:r>
    </w:p>
    <w:p w14:paraId="2F61F06D" w14:textId="77777777" w:rsidR="00FB2BC4" w:rsidRPr="005D4724" w:rsidRDefault="00FB2BC4" w:rsidP="00FB2BC4">
      <w:pPr>
        <w:spacing w:line="360" w:lineRule="auto"/>
        <w:jc w:val="both"/>
        <w:rPr>
          <w:rFonts w:ascii="Times New Roman" w:hAnsi="Times New Roman" w:cs="Times New Roman"/>
        </w:rPr>
      </w:pPr>
      <w:r w:rsidRPr="005D4724">
        <w:rPr>
          <w:rFonts w:ascii="Times New Roman" w:hAnsi="Times New Roman" w:cs="Times New Roman"/>
        </w:rPr>
        <w:t xml:space="preserve"> </w:t>
      </w:r>
      <w:r w:rsidRPr="005D4724">
        <w:rPr>
          <w:rFonts w:ascii="Times New Roman" w:hAnsi="Times New Roman" w:cs="Times New Roman"/>
        </w:rPr>
        <w:sym w:font="Symbol" w:char="F02D"/>
      </w:r>
      <w:r w:rsidRPr="005D4724">
        <w:rPr>
          <w:rFonts w:ascii="Times New Roman" w:hAnsi="Times New Roman" w:cs="Times New Roman"/>
        </w:rPr>
        <w:t xml:space="preserve"> Vyhodnocování plánu pedagogické podpory a stanovení dalšího postupu </w:t>
      </w:r>
    </w:p>
    <w:p w14:paraId="5B5149C8" w14:textId="77777777" w:rsidR="00FB2BC4" w:rsidRPr="005D4724" w:rsidRDefault="00FB2BC4" w:rsidP="00FB2BC4">
      <w:pPr>
        <w:spacing w:line="360" w:lineRule="auto"/>
        <w:jc w:val="both"/>
        <w:rPr>
          <w:rFonts w:ascii="Times New Roman" w:hAnsi="Times New Roman" w:cs="Times New Roman"/>
        </w:rPr>
      </w:pPr>
      <w:r w:rsidRPr="005D4724">
        <w:rPr>
          <w:rFonts w:ascii="Times New Roman" w:hAnsi="Times New Roman" w:cs="Times New Roman"/>
        </w:rPr>
        <w:sym w:font="Symbol" w:char="F02D"/>
      </w:r>
      <w:r w:rsidRPr="005D4724">
        <w:rPr>
          <w:rFonts w:ascii="Times New Roman" w:hAnsi="Times New Roman" w:cs="Times New Roman"/>
        </w:rPr>
        <w:t xml:space="preserve"> V odůvodněných případech doporučení zákonným zástupcům žáka k vyšetření ve školském poradenské zařízení </w:t>
      </w:r>
      <w:r>
        <w:rPr>
          <w:rFonts w:ascii="Times New Roman" w:hAnsi="Times New Roman" w:cs="Times New Roman"/>
        </w:rPr>
        <w:t>(PPP, SPC)</w:t>
      </w:r>
    </w:p>
    <w:p w14:paraId="588862BC" w14:textId="77777777" w:rsidR="00FB2BC4" w:rsidRPr="005D4724" w:rsidRDefault="00FB2BC4" w:rsidP="00FB2BC4">
      <w:pPr>
        <w:spacing w:line="360" w:lineRule="auto"/>
        <w:jc w:val="both"/>
        <w:rPr>
          <w:rFonts w:ascii="Times New Roman" w:hAnsi="Times New Roman" w:cs="Times New Roman"/>
        </w:rPr>
      </w:pPr>
      <w:r w:rsidRPr="005D4724">
        <w:rPr>
          <w:rFonts w:ascii="Times New Roman" w:hAnsi="Times New Roman" w:cs="Times New Roman"/>
        </w:rPr>
        <w:sym w:font="Symbol" w:char="F02D"/>
      </w:r>
      <w:r w:rsidRPr="005D4724">
        <w:rPr>
          <w:rFonts w:ascii="Times New Roman" w:hAnsi="Times New Roman" w:cs="Times New Roman"/>
        </w:rPr>
        <w:t xml:space="preserve"> Na základě doporučení školského poradenského pracoviště zpracování individuálního vzdělávacího plánu a jeho realizace </w:t>
      </w:r>
    </w:p>
    <w:p w14:paraId="0340A16A" w14:textId="77777777" w:rsidR="00FB2BC4" w:rsidRPr="005D4724" w:rsidRDefault="00FB2BC4" w:rsidP="00FB2BC4">
      <w:pPr>
        <w:spacing w:line="360" w:lineRule="auto"/>
        <w:jc w:val="both"/>
        <w:rPr>
          <w:rFonts w:ascii="Times New Roman" w:hAnsi="Times New Roman" w:cs="Times New Roman"/>
        </w:rPr>
      </w:pPr>
      <w:r w:rsidRPr="005D4724">
        <w:rPr>
          <w:rFonts w:ascii="Times New Roman" w:hAnsi="Times New Roman" w:cs="Times New Roman"/>
        </w:rPr>
        <w:sym w:font="Symbol" w:char="F02D"/>
      </w:r>
      <w:r w:rsidRPr="005D4724">
        <w:rPr>
          <w:rFonts w:ascii="Times New Roman" w:hAnsi="Times New Roman" w:cs="Times New Roman"/>
        </w:rPr>
        <w:t xml:space="preserve"> Poskytování podpůrných opatření dle vyhlášky č. 27/2016 Sb., o vzdělávání žáků se speciálními vzdělávacími potřebami a žáků nadaných</w:t>
      </w:r>
    </w:p>
    <w:p w14:paraId="617D0E30" w14:textId="77777777" w:rsidR="00FB2BC4" w:rsidRPr="005D4724" w:rsidRDefault="00FB2BC4" w:rsidP="00FB2BC4">
      <w:pPr>
        <w:spacing w:line="360" w:lineRule="auto"/>
        <w:jc w:val="both"/>
        <w:rPr>
          <w:rFonts w:ascii="Times New Roman" w:hAnsi="Times New Roman" w:cs="Times New Roman"/>
        </w:rPr>
      </w:pPr>
      <w:r w:rsidRPr="005D4724">
        <w:rPr>
          <w:rFonts w:ascii="Times New Roman" w:hAnsi="Times New Roman" w:cs="Times New Roman"/>
        </w:rPr>
        <w:t xml:space="preserve"> </w:t>
      </w:r>
      <w:r w:rsidRPr="005D4724">
        <w:rPr>
          <w:rFonts w:ascii="Times New Roman" w:hAnsi="Times New Roman" w:cs="Times New Roman"/>
        </w:rPr>
        <w:sym w:font="Symbol" w:char="F02D"/>
      </w:r>
      <w:r w:rsidRPr="005D4724">
        <w:rPr>
          <w:rFonts w:ascii="Times New Roman" w:hAnsi="Times New Roman" w:cs="Times New Roman"/>
        </w:rPr>
        <w:t xml:space="preserve"> Spolupráce s orgánem sociálně právní ochrany dětí </w:t>
      </w:r>
    </w:p>
    <w:p w14:paraId="15962780" w14:textId="77777777" w:rsidR="00FB2BC4" w:rsidRPr="005D4724" w:rsidRDefault="00FB2BC4" w:rsidP="00FB2BC4">
      <w:pPr>
        <w:spacing w:line="360" w:lineRule="auto"/>
        <w:jc w:val="both"/>
        <w:rPr>
          <w:rFonts w:ascii="Times New Roman" w:hAnsi="Times New Roman" w:cs="Times New Roman"/>
          <w:b/>
          <w:bCs/>
        </w:rPr>
      </w:pPr>
      <w:r w:rsidRPr="005D4724">
        <w:rPr>
          <w:rFonts w:ascii="Times New Roman" w:hAnsi="Times New Roman" w:cs="Times New Roman"/>
          <w:b/>
          <w:bCs/>
        </w:rPr>
        <w:t xml:space="preserve"> Závěrečné ustanovení </w:t>
      </w:r>
    </w:p>
    <w:p w14:paraId="3C761EBC" w14:textId="77777777" w:rsidR="00FB2BC4" w:rsidRPr="005D4724" w:rsidRDefault="00FB2BC4" w:rsidP="00FB2BC4">
      <w:pPr>
        <w:spacing w:line="360" w:lineRule="auto"/>
        <w:jc w:val="both"/>
        <w:rPr>
          <w:rFonts w:ascii="Times New Roman" w:hAnsi="Times New Roman" w:cs="Times New Roman"/>
        </w:rPr>
      </w:pPr>
      <w:r w:rsidRPr="005D4724">
        <w:rPr>
          <w:rFonts w:ascii="Times New Roman" w:hAnsi="Times New Roman" w:cs="Times New Roman"/>
        </w:rPr>
        <w:sym w:font="Symbol" w:char="F02D"/>
      </w:r>
      <w:r w:rsidRPr="005D4724">
        <w:rPr>
          <w:rFonts w:ascii="Times New Roman" w:hAnsi="Times New Roman" w:cs="Times New Roman"/>
        </w:rPr>
        <w:t xml:space="preserve"> Předcházení školní neúspěšnosti je úkolem školních poradenských služeb.</w:t>
      </w:r>
    </w:p>
    <w:p w14:paraId="1A85E5D8" w14:textId="77777777" w:rsidR="00FB2BC4" w:rsidRPr="005D4724" w:rsidRDefault="00FB2BC4" w:rsidP="00FB2BC4">
      <w:pPr>
        <w:spacing w:line="360" w:lineRule="auto"/>
        <w:jc w:val="both"/>
        <w:rPr>
          <w:rFonts w:ascii="Times New Roman" w:hAnsi="Times New Roman" w:cs="Times New Roman"/>
        </w:rPr>
      </w:pPr>
      <w:r w:rsidRPr="005D4724">
        <w:rPr>
          <w:rFonts w:ascii="Times New Roman" w:hAnsi="Times New Roman" w:cs="Times New Roman"/>
        </w:rPr>
        <w:t xml:space="preserve"> </w:t>
      </w:r>
      <w:r w:rsidRPr="005D4724">
        <w:rPr>
          <w:rFonts w:ascii="Times New Roman" w:hAnsi="Times New Roman" w:cs="Times New Roman"/>
        </w:rPr>
        <w:sym w:font="Symbol" w:char="F02D"/>
      </w:r>
      <w:r w:rsidRPr="005D4724">
        <w:rPr>
          <w:rFonts w:ascii="Times New Roman" w:hAnsi="Times New Roman" w:cs="Times New Roman"/>
        </w:rPr>
        <w:t xml:space="preserve"> Strategie předcházení školní neúspěšnosti je součástí preventivního programu školy. </w:t>
      </w:r>
    </w:p>
    <w:p w14:paraId="113B9207" w14:textId="77777777" w:rsidR="00FB2BC4" w:rsidRDefault="00FB2BC4"/>
    <w:sectPr w:rsidR="00FB2B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C4"/>
    <w:rsid w:val="005222E6"/>
    <w:rsid w:val="00FB2B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844F"/>
  <w15:chartTrackingRefBased/>
  <w15:docId w15:val="{6EBFAD21-5369-41F9-8E9E-AF1C238E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2BC4"/>
  </w:style>
  <w:style w:type="paragraph" w:styleId="Nadpis1">
    <w:name w:val="heading 1"/>
    <w:basedOn w:val="Normln"/>
    <w:next w:val="Normln"/>
    <w:link w:val="Nadpis1Char"/>
    <w:uiPriority w:val="9"/>
    <w:qFormat/>
    <w:rsid w:val="00FB2B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FB2B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FB2BC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B2BC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B2BC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B2BC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B2BC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B2BC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B2BC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B2BC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FB2BC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FB2BC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B2BC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B2BC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B2BC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B2BC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B2BC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B2BC4"/>
    <w:rPr>
      <w:rFonts w:eastAsiaTheme="majorEastAsia" w:cstheme="majorBidi"/>
      <w:color w:val="272727" w:themeColor="text1" w:themeTint="D8"/>
    </w:rPr>
  </w:style>
  <w:style w:type="paragraph" w:styleId="Nzev">
    <w:name w:val="Title"/>
    <w:basedOn w:val="Normln"/>
    <w:next w:val="Normln"/>
    <w:link w:val="NzevChar"/>
    <w:uiPriority w:val="10"/>
    <w:qFormat/>
    <w:rsid w:val="00FB2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B2BC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B2BC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B2BC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B2BC4"/>
    <w:pPr>
      <w:spacing w:before="160"/>
      <w:jc w:val="center"/>
    </w:pPr>
    <w:rPr>
      <w:i/>
      <w:iCs/>
      <w:color w:val="404040" w:themeColor="text1" w:themeTint="BF"/>
    </w:rPr>
  </w:style>
  <w:style w:type="character" w:customStyle="1" w:styleId="CittChar">
    <w:name w:val="Citát Char"/>
    <w:basedOn w:val="Standardnpsmoodstavce"/>
    <w:link w:val="Citt"/>
    <w:uiPriority w:val="29"/>
    <w:rsid w:val="00FB2BC4"/>
    <w:rPr>
      <w:i/>
      <w:iCs/>
      <w:color w:val="404040" w:themeColor="text1" w:themeTint="BF"/>
    </w:rPr>
  </w:style>
  <w:style w:type="paragraph" w:styleId="Odstavecseseznamem">
    <w:name w:val="List Paragraph"/>
    <w:basedOn w:val="Normln"/>
    <w:uiPriority w:val="34"/>
    <w:qFormat/>
    <w:rsid w:val="00FB2BC4"/>
    <w:pPr>
      <w:ind w:left="720"/>
      <w:contextualSpacing/>
    </w:pPr>
  </w:style>
  <w:style w:type="character" w:styleId="Zdraznnintenzivn">
    <w:name w:val="Intense Emphasis"/>
    <w:basedOn w:val="Standardnpsmoodstavce"/>
    <w:uiPriority w:val="21"/>
    <w:qFormat/>
    <w:rsid w:val="00FB2BC4"/>
    <w:rPr>
      <w:i/>
      <w:iCs/>
      <w:color w:val="2F5496" w:themeColor="accent1" w:themeShade="BF"/>
    </w:rPr>
  </w:style>
  <w:style w:type="paragraph" w:styleId="Vrazncitt">
    <w:name w:val="Intense Quote"/>
    <w:basedOn w:val="Normln"/>
    <w:next w:val="Normln"/>
    <w:link w:val="VrazncittChar"/>
    <w:uiPriority w:val="30"/>
    <w:qFormat/>
    <w:rsid w:val="00FB2B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B2BC4"/>
    <w:rPr>
      <w:i/>
      <w:iCs/>
      <w:color w:val="2F5496" w:themeColor="accent1" w:themeShade="BF"/>
    </w:rPr>
  </w:style>
  <w:style w:type="character" w:styleId="Odkazintenzivn">
    <w:name w:val="Intense Reference"/>
    <w:basedOn w:val="Standardnpsmoodstavce"/>
    <w:uiPriority w:val="32"/>
    <w:qFormat/>
    <w:rsid w:val="00FB2B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630</Words>
  <Characters>3717</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Vendula Ságnerová</dc:creator>
  <cp:keywords/>
  <dc:description/>
  <cp:lastModifiedBy>Vendula Ságnerová</cp:lastModifiedBy>
  <cp:revision>1</cp:revision>
  <cp:lastPrinted>2026-04-02T07:05:00Z</cp:lastPrinted>
  <dcterms:created xsi:type="dcterms:W3CDTF">2026-04-02T07:05:00Z</dcterms:created>
  <dcterms:modified xsi:type="dcterms:W3CDTF">2026-04-02T07:07:00Z</dcterms:modified>
</cp:coreProperties>
</file>